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8A7A" w14:textId="7B8C1DF0" w:rsidR="00BB1BA5" w:rsidRPr="00E3091B" w:rsidRDefault="00BB1BA5" w:rsidP="00BB1BA5">
      <w:pPr>
        <w:jc w:val="left"/>
        <w:rPr>
          <w:rFonts w:asciiTheme="majorHAnsi" w:hAnsiTheme="majorHAnsi" w:cstheme="majorHAnsi"/>
        </w:rPr>
      </w:pPr>
      <w:r w:rsidRPr="00196102">
        <w:rPr>
          <w:rFonts w:asciiTheme="majorHAnsi" w:hAnsiTheme="majorHAnsi" w:cstheme="majorHAnsi"/>
        </w:rPr>
        <w:tab/>
      </w:r>
      <w:r w:rsidRPr="00196102">
        <w:rPr>
          <w:rFonts w:asciiTheme="majorHAnsi" w:hAnsiTheme="majorHAnsi" w:cstheme="majorHAnsi"/>
        </w:rPr>
        <w:tab/>
      </w:r>
      <w:r w:rsidRPr="00196102">
        <w:rPr>
          <w:rFonts w:asciiTheme="majorHAnsi" w:hAnsiTheme="majorHAnsi" w:cstheme="majorHAnsi"/>
        </w:rPr>
        <w:tab/>
      </w:r>
      <w:r w:rsidRPr="00196102">
        <w:rPr>
          <w:rFonts w:asciiTheme="majorHAnsi" w:hAnsiTheme="majorHAnsi" w:cstheme="majorHAnsi"/>
        </w:rPr>
        <w:tab/>
      </w:r>
      <w:r w:rsidRPr="00E3091B">
        <w:rPr>
          <w:rFonts w:asciiTheme="majorHAnsi" w:hAnsiTheme="majorHAnsi" w:cstheme="majorHAnsi"/>
        </w:rPr>
        <w:t>P</w:t>
      </w:r>
      <w:r w:rsidR="00950409" w:rsidRPr="00E3091B">
        <w:rPr>
          <w:rFonts w:asciiTheme="majorHAnsi" w:hAnsiTheme="majorHAnsi" w:cstheme="majorHAnsi"/>
        </w:rPr>
        <w:t xml:space="preserve">ATVIRTINTA </w:t>
      </w:r>
    </w:p>
    <w:p w14:paraId="070B96C9" w14:textId="4965741A" w:rsidR="00950409" w:rsidRPr="00E3091B" w:rsidRDefault="00BB1BA5" w:rsidP="00BB1BA5">
      <w:pPr>
        <w:jc w:val="left"/>
        <w:rPr>
          <w:rFonts w:asciiTheme="majorHAnsi" w:hAnsiTheme="majorHAnsi" w:cstheme="majorHAnsi"/>
        </w:rPr>
      </w:pP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00950409" w:rsidRPr="00E3091B">
        <w:rPr>
          <w:rFonts w:asciiTheme="majorHAnsi" w:hAnsiTheme="majorHAnsi" w:cstheme="majorHAnsi"/>
        </w:rPr>
        <w:t xml:space="preserve">AB „Klaipėdos </w:t>
      </w:r>
      <w:r w:rsidRPr="00E3091B">
        <w:rPr>
          <w:rFonts w:asciiTheme="majorHAnsi" w:hAnsiTheme="majorHAnsi" w:cstheme="majorHAnsi"/>
        </w:rPr>
        <w:t>vanduo“</w:t>
      </w:r>
      <w:r w:rsidR="00950409" w:rsidRPr="00E3091B">
        <w:rPr>
          <w:rFonts w:asciiTheme="majorHAnsi" w:hAnsiTheme="majorHAnsi" w:cstheme="majorHAnsi"/>
        </w:rPr>
        <w:t xml:space="preserve"> </w:t>
      </w:r>
    </w:p>
    <w:p w14:paraId="57A7C7AA" w14:textId="07C0DAC4" w:rsidR="00950409" w:rsidRPr="00E3091B" w:rsidRDefault="00BB1BA5" w:rsidP="00BB1BA5">
      <w:pPr>
        <w:jc w:val="left"/>
        <w:rPr>
          <w:rFonts w:asciiTheme="majorHAnsi" w:hAnsiTheme="majorHAnsi" w:cstheme="majorHAnsi"/>
        </w:rPr>
      </w:pP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00950409" w:rsidRPr="00E3091B">
        <w:rPr>
          <w:rFonts w:asciiTheme="majorHAnsi" w:hAnsiTheme="majorHAnsi" w:cstheme="majorHAnsi"/>
        </w:rPr>
        <w:t>2024 m. sausio 1</w:t>
      </w:r>
      <w:r w:rsidR="00E91762" w:rsidRPr="00E3091B">
        <w:rPr>
          <w:rFonts w:asciiTheme="majorHAnsi" w:hAnsiTheme="majorHAnsi" w:cstheme="majorHAnsi"/>
        </w:rPr>
        <w:t>2</w:t>
      </w:r>
      <w:r w:rsidR="00950409" w:rsidRPr="00E3091B">
        <w:rPr>
          <w:rFonts w:asciiTheme="majorHAnsi" w:hAnsiTheme="majorHAnsi" w:cstheme="majorHAnsi"/>
        </w:rPr>
        <w:t xml:space="preserve"> d. </w:t>
      </w:r>
      <w:r w:rsidR="00E3091B" w:rsidRPr="00E3091B">
        <w:rPr>
          <w:rFonts w:asciiTheme="majorHAnsi" w:hAnsiTheme="majorHAnsi" w:cstheme="majorHAnsi"/>
        </w:rPr>
        <w:t>valdybos sprendimu</w:t>
      </w: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Pr="00E3091B">
        <w:rPr>
          <w:rFonts w:asciiTheme="majorHAnsi" w:hAnsiTheme="majorHAnsi" w:cstheme="majorHAnsi"/>
        </w:rPr>
        <w:tab/>
      </w:r>
      <w:r w:rsidR="00950409" w:rsidRPr="00E3091B">
        <w:rPr>
          <w:rFonts w:asciiTheme="majorHAnsi" w:hAnsiTheme="majorHAnsi" w:cstheme="majorHAnsi"/>
        </w:rPr>
        <w:t>Nr.</w:t>
      </w:r>
      <w:r w:rsidR="00E3091B" w:rsidRPr="00E3091B">
        <w:rPr>
          <w:rFonts w:asciiTheme="majorHAnsi" w:hAnsiTheme="majorHAnsi" w:cstheme="majorHAnsi"/>
        </w:rPr>
        <w:t xml:space="preserve"> </w:t>
      </w:r>
      <w:r w:rsidR="00E3091B" w:rsidRPr="00E3091B">
        <w:rPr>
          <w:rFonts w:asciiTheme="majorHAnsi" w:hAnsiTheme="majorHAnsi" w:cstheme="majorHAnsi"/>
          <w:shd w:val="clear" w:color="auto" w:fill="FFFFFF"/>
        </w:rPr>
        <w:t>2024/V-ADM.4-3.E-1</w:t>
      </w:r>
      <w:r w:rsidR="00950409" w:rsidRPr="00E3091B">
        <w:rPr>
          <w:rFonts w:asciiTheme="majorHAnsi" w:hAnsiTheme="majorHAnsi" w:cstheme="majorHAnsi"/>
        </w:rPr>
        <w:t xml:space="preserve"> </w:t>
      </w:r>
    </w:p>
    <w:p w14:paraId="55A5BB9C" w14:textId="77777777" w:rsidR="00950409" w:rsidRPr="00196102" w:rsidRDefault="00950409">
      <w:pPr>
        <w:rPr>
          <w:rFonts w:asciiTheme="majorHAnsi" w:hAnsiTheme="majorHAnsi" w:cstheme="majorHAnsi"/>
        </w:rPr>
      </w:pPr>
    </w:p>
    <w:p w14:paraId="67E96D7A" w14:textId="0A612B49" w:rsidR="00950409" w:rsidRPr="00196102" w:rsidRDefault="00950409" w:rsidP="00BB1BA5">
      <w:pPr>
        <w:jc w:val="center"/>
        <w:rPr>
          <w:rFonts w:asciiTheme="majorHAnsi" w:hAnsiTheme="majorHAnsi" w:cstheme="majorHAnsi"/>
          <w:b/>
          <w:bCs/>
        </w:rPr>
      </w:pPr>
      <w:r w:rsidRPr="00196102">
        <w:rPr>
          <w:rFonts w:asciiTheme="majorHAnsi" w:hAnsiTheme="majorHAnsi" w:cstheme="majorHAnsi"/>
          <w:b/>
          <w:bCs/>
        </w:rPr>
        <w:t xml:space="preserve">UAB „KLAIPĖDOS </w:t>
      </w:r>
      <w:r w:rsidR="00BB1BA5" w:rsidRPr="00196102">
        <w:rPr>
          <w:rFonts w:asciiTheme="majorHAnsi" w:hAnsiTheme="majorHAnsi" w:cstheme="majorHAnsi"/>
          <w:b/>
          <w:bCs/>
        </w:rPr>
        <w:t>VANDUO</w:t>
      </w:r>
      <w:r w:rsidRPr="00196102">
        <w:rPr>
          <w:rFonts w:asciiTheme="majorHAnsi" w:hAnsiTheme="majorHAnsi" w:cstheme="majorHAnsi"/>
          <w:b/>
          <w:bCs/>
        </w:rPr>
        <w:t>”</w:t>
      </w:r>
    </w:p>
    <w:p w14:paraId="549B009B" w14:textId="21F4B11E" w:rsidR="00950409" w:rsidRPr="00196102" w:rsidRDefault="00950409" w:rsidP="00BB1BA5">
      <w:pPr>
        <w:jc w:val="center"/>
        <w:rPr>
          <w:rFonts w:asciiTheme="majorHAnsi" w:hAnsiTheme="majorHAnsi" w:cstheme="majorHAnsi"/>
          <w:b/>
          <w:bCs/>
        </w:rPr>
      </w:pPr>
      <w:r w:rsidRPr="00196102">
        <w:rPr>
          <w:rFonts w:asciiTheme="majorHAnsi" w:hAnsiTheme="majorHAnsi" w:cstheme="majorHAnsi"/>
          <w:b/>
          <w:bCs/>
        </w:rPr>
        <w:t>NEPRIKLAUSOMŲ AUDITO KOMITETO NARIŲ ATRANKOS APRAŠAS</w:t>
      </w:r>
    </w:p>
    <w:p w14:paraId="2FA209E4" w14:textId="77777777" w:rsidR="00950409" w:rsidRPr="00196102" w:rsidRDefault="00950409" w:rsidP="00950409">
      <w:pPr>
        <w:rPr>
          <w:rFonts w:asciiTheme="majorHAnsi" w:hAnsiTheme="majorHAnsi" w:cstheme="majorHAnsi"/>
        </w:rPr>
      </w:pPr>
    </w:p>
    <w:p w14:paraId="2F6F87CF" w14:textId="6B458155"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Vadovaujantis Kandidatų į valstybės ar savivaldybės įmonės, valstybės ar savivaldybės valdomos bendrovės ar jos dukterinės bendrovės kolegialų priežiūros ar valdymo organą atrankos aprašu, patvirtintu Lietuvos Respublikos Vyriausybės 2015 m. birželio 17 d. nutarimu Nr. 631 „Dėl Kandidatų į valstybės ar savivaldybės valdomos įmonės kolegialų priežiūros ar valdymo organą atrankos aprašo patvirtinimo“, taip pat 2017 m. sausio 24 d. Lietuvos banko valdybos nutarimu „Dėl reikalavimų audito komitetams aprašo patvirtinimo“, Lietuvos Respublikos valstybės ir savivaldybių turto valdymo, naudojimo ir disponavimo juo įstatymu, atsižvelgiant į Lietuvos Respublikos Vyriausybės 2010 m. gruodžio 1 d. nutarimą Nr. 1731 „Dėl Valstybės valdomų įmonių efektyvumo didinimo koncepcijos patvirtinimo“, Lietuvos Respublikos Vyriausybės 2010 m. liepos 14 d. nutarimo Nr. 1052 „Dėl Valstybės valdomų įmonių veiklos skaidrumo užtikrinimo gairių aprašo patvirtinimo“ bei remiantis Ekonominio bendradarbiavimo ir plėtros organizacijos (EPBO) ir Pasaulio banko parengtais korporatyvinio valdymo valstybės valdomose įmonėse principais bei rekomendacijomis ir AB „Klaipėdos </w:t>
      </w:r>
      <w:r w:rsidR="00BB1BA5" w:rsidRPr="00196102">
        <w:rPr>
          <w:rFonts w:asciiTheme="majorHAnsi" w:hAnsiTheme="majorHAnsi" w:cstheme="majorHAnsi"/>
        </w:rPr>
        <w:t>vanduo</w:t>
      </w:r>
      <w:r w:rsidRPr="00196102">
        <w:rPr>
          <w:rFonts w:asciiTheme="majorHAnsi" w:hAnsiTheme="majorHAnsi" w:cstheme="majorHAnsi"/>
        </w:rPr>
        <w:t xml:space="preserve">“ (toliau – Bendrovė) įstatais – Bendrovės Valdyba (toliau – Valdyba) skelbia </w:t>
      </w:r>
      <w:r w:rsidR="00BB1BA5" w:rsidRPr="00196102">
        <w:rPr>
          <w:rFonts w:asciiTheme="majorHAnsi" w:hAnsiTheme="majorHAnsi" w:cstheme="majorHAnsi"/>
          <w:lang w:val="en-US"/>
        </w:rPr>
        <w:t xml:space="preserve">1 </w:t>
      </w:r>
      <w:r w:rsidR="00BB1BA5" w:rsidRPr="00196102">
        <w:rPr>
          <w:rFonts w:asciiTheme="majorHAnsi" w:hAnsiTheme="majorHAnsi" w:cstheme="majorHAnsi"/>
        </w:rPr>
        <w:t>kandidato</w:t>
      </w:r>
      <w:r w:rsidRPr="00196102">
        <w:rPr>
          <w:rFonts w:asciiTheme="majorHAnsi" w:hAnsiTheme="majorHAnsi" w:cstheme="majorHAnsi"/>
        </w:rPr>
        <w:t xml:space="preserve"> atrank</w:t>
      </w:r>
      <w:r w:rsidR="00BB1BA5" w:rsidRPr="00196102">
        <w:rPr>
          <w:rFonts w:asciiTheme="majorHAnsi" w:hAnsiTheme="majorHAnsi" w:cstheme="majorHAnsi"/>
        </w:rPr>
        <w:t>ą</w:t>
      </w:r>
      <w:r w:rsidRPr="00196102">
        <w:rPr>
          <w:rFonts w:asciiTheme="majorHAnsi" w:hAnsiTheme="majorHAnsi" w:cstheme="majorHAnsi"/>
        </w:rPr>
        <w:t xml:space="preserve"> į Bendrovės: </w:t>
      </w:r>
    </w:p>
    <w:p w14:paraId="499F66F6" w14:textId="77777777" w:rsidR="00950409" w:rsidRPr="00196102" w:rsidRDefault="00950409" w:rsidP="00950409">
      <w:pPr>
        <w:rPr>
          <w:rFonts w:asciiTheme="majorHAnsi" w:hAnsiTheme="majorHAnsi" w:cstheme="majorHAnsi"/>
        </w:rPr>
      </w:pPr>
    </w:p>
    <w:p w14:paraId="7594FEF9" w14:textId="767F3C84" w:rsidR="00950409" w:rsidRPr="00E3091B" w:rsidRDefault="00950409" w:rsidP="00E3091B">
      <w:pPr>
        <w:pStyle w:val="Sraopastraipa"/>
        <w:numPr>
          <w:ilvl w:val="0"/>
          <w:numId w:val="1"/>
        </w:numPr>
        <w:jc w:val="center"/>
        <w:rPr>
          <w:rFonts w:asciiTheme="majorHAnsi" w:hAnsiTheme="majorHAnsi" w:cstheme="majorHAnsi"/>
          <w:b/>
          <w:bCs/>
        </w:rPr>
      </w:pPr>
      <w:r w:rsidRPr="00E3091B">
        <w:rPr>
          <w:rFonts w:asciiTheme="majorHAnsi" w:hAnsiTheme="majorHAnsi" w:cstheme="majorHAnsi"/>
          <w:b/>
          <w:bCs/>
        </w:rPr>
        <w:t>Audito komiteto nepriklausomo nario poziciją.</w:t>
      </w:r>
    </w:p>
    <w:p w14:paraId="456D557D" w14:textId="77777777" w:rsidR="00950409" w:rsidRPr="00196102" w:rsidRDefault="00950409" w:rsidP="00950409">
      <w:pPr>
        <w:rPr>
          <w:rFonts w:asciiTheme="majorHAnsi" w:hAnsiTheme="majorHAnsi" w:cstheme="majorHAnsi"/>
        </w:rPr>
      </w:pPr>
    </w:p>
    <w:p w14:paraId="488EA638"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Dokumente pateikiamas Audito komiteto (toliau - AK) veiklos, darbo pobūdžio, reikalavimų kandidatams bei atrankos proceso aprašymas. </w:t>
      </w:r>
    </w:p>
    <w:p w14:paraId="3B76B9C8" w14:textId="77777777" w:rsidR="00950409" w:rsidRPr="00196102" w:rsidRDefault="00950409" w:rsidP="00950409">
      <w:pPr>
        <w:rPr>
          <w:rFonts w:asciiTheme="majorHAnsi" w:hAnsiTheme="majorHAnsi" w:cstheme="majorHAnsi"/>
        </w:rPr>
      </w:pPr>
    </w:p>
    <w:p w14:paraId="31C62EE6" w14:textId="292D14C3" w:rsidR="00950409" w:rsidRPr="00196102" w:rsidRDefault="00950409" w:rsidP="00BB1BA5">
      <w:pPr>
        <w:jc w:val="center"/>
        <w:rPr>
          <w:rFonts w:asciiTheme="majorHAnsi" w:hAnsiTheme="majorHAnsi" w:cstheme="majorHAnsi"/>
          <w:b/>
          <w:bCs/>
        </w:rPr>
      </w:pPr>
      <w:r w:rsidRPr="00196102">
        <w:rPr>
          <w:rFonts w:asciiTheme="majorHAnsi" w:hAnsiTheme="majorHAnsi" w:cstheme="majorHAnsi"/>
          <w:b/>
          <w:bCs/>
        </w:rPr>
        <w:t>I. Bendrosios nuostatos</w:t>
      </w:r>
    </w:p>
    <w:p w14:paraId="343F2944" w14:textId="77777777" w:rsidR="00950409" w:rsidRPr="00196102" w:rsidRDefault="00950409" w:rsidP="00950409">
      <w:pPr>
        <w:rPr>
          <w:rFonts w:asciiTheme="majorHAnsi" w:hAnsiTheme="majorHAnsi" w:cstheme="majorHAnsi"/>
        </w:rPr>
      </w:pPr>
    </w:p>
    <w:p w14:paraId="1AA7C6E1"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 AK veikia kaip patariamasis Bendrovės Valdybos organas vidaus kontrolės ir veiklos rizikų valdymo srityse. Pagrindinės jo funkcijos yra Bendrovės finansinių ataskaitų rengimo ir auditų atlikimo procesų priežiūra, Bendrovės auditorių ir audito įmonių nepriklausomumo bei objektyvumo principų laikymosi užtikrinimas; Bendrovės vidaus kontrolės, rizikos valdymo ir vidaus audito sistemų, taip pat veiklos procesų veiksmingumo priežiūra. Kaip patariamojo Bendrovės veiklos priežiūrą vykdančio organo, Audito komiteto pagrindinis uždavinys – didinti Valdybos darbo Bendrovės finansų priežiūros srityje efektyvumą, padėti užtikrinti, kad sprendimai būtų priimami nešališkai ir juos tinkamai apsvarsčius. </w:t>
      </w:r>
    </w:p>
    <w:p w14:paraId="65E44BD2" w14:textId="77777777" w:rsidR="00950409" w:rsidRPr="00196102" w:rsidRDefault="00950409" w:rsidP="00950409">
      <w:pPr>
        <w:rPr>
          <w:rFonts w:asciiTheme="majorHAnsi" w:hAnsiTheme="majorHAnsi" w:cstheme="majorHAnsi"/>
        </w:rPr>
      </w:pPr>
    </w:p>
    <w:p w14:paraId="110C189C" w14:textId="77777777" w:rsidR="00950409" w:rsidRPr="00196102" w:rsidRDefault="00950409" w:rsidP="00950409">
      <w:pPr>
        <w:rPr>
          <w:rFonts w:asciiTheme="majorHAnsi" w:hAnsiTheme="majorHAnsi" w:cstheme="majorHAnsi"/>
          <w:b/>
          <w:bCs/>
        </w:rPr>
      </w:pPr>
      <w:r w:rsidRPr="00196102">
        <w:rPr>
          <w:rFonts w:asciiTheme="majorHAnsi" w:hAnsiTheme="majorHAnsi" w:cstheme="majorHAnsi"/>
          <w:b/>
          <w:bCs/>
        </w:rPr>
        <w:t xml:space="preserve">2. Pagrindinės AK funkcijos yra: </w:t>
      </w:r>
    </w:p>
    <w:p w14:paraId="0A6835F7"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2.1. stebėti Bendrovės finansinių ataskaitų rengimo procesą, ypatingą dėmesį skiriant naudojamų apskaitos metodų tinkamumui ir nuoseklumui; </w:t>
      </w:r>
    </w:p>
    <w:p w14:paraId="051B2597"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2.2. stebėti audito atlikimo procesą, tikrinti išorinio audito veiksmingumą ir administracijos reakciją į rekomendacijas, kurias audito įmonė pateikia laiške vadovybei; </w:t>
      </w:r>
    </w:p>
    <w:p w14:paraId="5E8C2E17"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2.3. stebėti, kaip išorės auditorius ir audito įmonė laikosi nepriklausomumo ir objektyvumo principų, teikti su tuo susijusias rekomendacijas; </w:t>
      </w:r>
    </w:p>
    <w:p w14:paraId="4DB5A945"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 vidaus kontrolės ir rizikos valdymo sistemų poreikio Bendrovėje analizė, jau egzistuojančių vidaus kontrolės ir rizikos valdymo sistemų peržiūra; </w:t>
      </w:r>
    </w:p>
    <w:p w14:paraId="1A510BE8"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2.5. egzistuojančios audito funkcijos veiksmingumo analizė ir rekomendacijų teikimas vidaus audito funkcijos reikalingumo, veiksmingumo ir kitais su vidaus auditu susijusiais klausimais; </w:t>
      </w:r>
    </w:p>
    <w:p w14:paraId="3D11A849"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2.6. kiti klausimai, dėl kurių Audito komiteto išvados paprašo Bendrovės Valdyba. </w:t>
      </w:r>
    </w:p>
    <w:p w14:paraId="4BC5C5F1"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 Audito komitetas ne mažiau kaip keturis kartus per metus apie savo veiklą informuoja Valdybą, o kartą per metus pateikia Valdybai rašytinę savo veiklos ataskaitą. </w:t>
      </w:r>
    </w:p>
    <w:p w14:paraId="3DDAA3E5" w14:textId="77777777" w:rsidR="00950409" w:rsidRPr="00196102" w:rsidRDefault="00950409" w:rsidP="00950409">
      <w:pPr>
        <w:rPr>
          <w:rFonts w:asciiTheme="majorHAnsi" w:hAnsiTheme="majorHAnsi" w:cstheme="majorHAnsi"/>
        </w:rPr>
      </w:pPr>
    </w:p>
    <w:p w14:paraId="134EA1AF" w14:textId="77777777" w:rsidR="00950409" w:rsidRPr="00196102" w:rsidRDefault="00950409" w:rsidP="00950409">
      <w:pPr>
        <w:rPr>
          <w:rFonts w:asciiTheme="majorHAnsi" w:hAnsiTheme="majorHAnsi" w:cstheme="majorHAnsi"/>
          <w:b/>
          <w:bCs/>
        </w:rPr>
      </w:pPr>
      <w:r w:rsidRPr="00196102">
        <w:rPr>
          <w:rFonts w:asciiTheme="majorHAnsi" w:hAnsiTheme="majorHAnsi" w:cstheme="majorHAnsi"/>
          <w:b/>
          <w:bCs/>
        </w:rPr>
        <w:t xml:space="preserve">3. AK nariai privalo: </w:t>
      </w:r>
    </w:p>
    <w:p w14:paraId="173BE0E5"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3.1. sąžiningai, rūpestingai ir atsakingai veikti Bendrovės bei akcininkų naudai; </w:t>
      </w:r>
    </w:p>
    <w:p w14:paraId="074450A9"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3.2. išlaikyti savo analizės, sprendimų priėmimo ir veiksmų nepriklausomumą; </w:t>
      </w:r>
    </w:p>
    <w:p w14:paraId="70AC39A5"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lastRenderedPageBreak/>
        <w:t xml:space="preserve">3.3. reikšti savo prieštaravimą tuo atveju, kai mano, kad Bendrovės organo sprendimas gali pakenkti Bendrovei. Kai Bendrovės organas yra priėmęs sprendimų, dėl kurių nepriklausomas narys turi rimtų abejonių, tokiu atveju šis narys turėtų pateikti artimiausiame visuotiniame akcininkų susirinkime atitinkamas išvadas; </w:t>
      </w:r>
    </w:p>
    <w:p w14:paraId="366E67A7"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3.4. prieš Valdybos atliekamą strateginių veiklos planų bei finansinių ir investicinių planų, darbo apmokėjimo, finansinės būklės vertinimą, pateikti Komiteto išvadas dėl šių dokumentų.</w:t>
      </w:r>
    </w:p>
    <w:p w14:paraId="5B421D74" w14:textId="3B8159B8"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 3.5. Audito komitetas, be Finansinių ataskaitų audito įstatymo 69 straipsnio 5 dalyje nurodytų pareigų, taip pat turi pareigas, numatytas 2017 m. sausio 24 d. Lietuvos banko valdybos nutarimo „Dėl reikalavimų audito komitetams aprašo patvirtinimo“ III skyriuje. </w:t>
      </w:r>
    </w:p>
    <w:p w14:paraId="0E2D2EEC" w14:textId="418236E9"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4. AK turi Lietuvos Respublikos finansinių ataskaitų audito įstatyme ir kituose Lietuvos Respublikoje galiojančiuose ir taikomuose teisės aktuose apibrėžtas teises, pareigas bei įgaliojimus. </w:t>
      </w:r>
    </w:p>
    <w:p w14:paraId="35626918" w14:textId="6C5BAFD9"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5. Komitetas iš savo narių renka komiteto pirmininką, pirmininko kandidatūrą teikiant iš nepriklausomų komiteto narių. </w:t>
      </w:r>
    </w:p>
    <w:p w14:paraId="75A64EA5" w14:textId="47D17234" w:rsidR="00950409" w:rsidRPr="00196102" w:rsidRDefault="00950409" w:rsidP="00950409">
      <w:pPr>
        <w:rPr>
          <w:rFonts w:asciiTheme="majorHAnsi" w:hAnsiTheme="majorHAnsi" w:cstheme="majorHAnsi"/>
        </w:rPr>
      </w:pPr>
      <w:r w:rsidRPr="00196102">
        <w:rPr>
          <w:rFonts w:asciiTheme="majorHAnsi" w:hAnsiTheme="majorHAnsi" w:cstheme="majorHAnsi"/>
        </w:rPr>
        <w:t>6. Komitetas sudaromas iš 3 (trijų) narių</w:t>
      </w:r>
      <w:r w:rsidR="00A73FE3">
        <w:rPr>
          <w:rFonts w:asciiTheme="majorHAnsi" w:hAnsiTheme="majorHAnsi" w:cstheme="majorHAnsi"/>
        </w:rPr>
        <w:t>.</w:t>
      </w:r>
      <w:r w:rsidRPr="00196102">
        <w:rPr>
          <w:rFonts w:asciiTheme="majorHAnsi" w:hAnsiTheme="majorHAnsi" w:cstheme="majorHAnsi"/>
        </w:rPr>
        <w:t xml:space="preserve"> </w:t>
      </w:r>
      <w:r w:rsidR="00A73FE3" w:rsidRPr="00CF45D6">
        <w:rPr>
          <w:rFonts w:asciiTheme="majorHAnsi" w:hAnsiTheme="majorHAnsi" w:cstheme="majorHAnsi"/>
        </w:rPr>
        <w:t xml:space="preserve">Audito komitetas sudaromas ir jo personalinė sudėtis tvirtinama </w:t>
      </w:r>
      <w:r w:rsidR="00A73FE3" w:rsidRPr="00A73FE3">
        <w:rPr>
          <w:rFonts w:asciiTheme="majorHAnsi" w:hAnsiTheme="majorHAnsi" w:cstheme="majorHAnsi"/>
          <w:bCs/>
        </w:rPr>
        <w:t>valdybos sprendimu.  Komiteto</w:t>
      </w:r>
      <w:r w:rsidR="00A73FE3" w:rsidRPr="00CF45D6">
        <w:rPr>
          <w:rFonts w:asciiTheme="majorHAnsi" w:hAnsiTheme="majorHAnsi" w:cstheme="majorHAnsi"/>
        </w:rPr>
        <w:t xml:space="preserve"> nariai savo veiklą pradeda pasibaigus Komitetą ar atskirus jo narius išrinkusiam valdybos posėdžiui.</w:t>
      </w:r>
      <w:r w:rsidRPr="00196102">
        <w:rPr>
          <w:rFonts w:asciiTheme="majorHAnsi" w:hAnsiTheme="majorHAnsi" w:cstheme="majorHAnsi"/>
        </w:rPr>
        <w:t xml:space="preserve"> </w:t>
      </w:r>
    </w:p>
    <w:p w14:paraId="42EDC3FE" w14:textId="0EF8604D"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7. Komitetų nariams bus siekiama sudaryti sklandaus įsiliejimo į veiklą sąlygas. </w:t>
      </w:r>
    </w:p>
    <w:p w14:paraId="40CDD283" w14:textId="69932BC2"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8. Komiteto nario pareigoms atlikti kiekvienas narys turėtų skirti pakankamai laiko ir dėmesio. </w:t>
      </w:r>
    </w:p>
    <w:p w14:paraId="4CB8B428"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9. Audito komiteto nariams nustatomas fiksuotas atlygis eurais kalendorinių metų ketvirčiui, kurio dydis: </w:t>
      </w:r>
    </w:p>
    <w:p w14:paraId="2493672D"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9.1. nariams, išskyrus valstybės tarnautojus, – 1/10 Bendrovės vadovo vidutinio mėnesinio darbo užmokesčio, pirmininkui – 1/8 Bendrovės vadovo vidutinio mėnesinio darbo užmokesčio; </w:t>
      </w:r>
    </w:p>
    <w:p w14:paraId="38EBAF43"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9.2. audito komiteto nariui, kuris yra valstybės tarnautojas, atlygis Bendrovės lėšomis nėra mokamas. </w:t>
      </w:r>
    </w:p>
    <w:p w14:paraId="1B480834"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10. Ne pilną kalendorinį ketvirtį dirbusiam audito komiteto nariui atlyginimas mokamas proporcingai kalendoriniame ketvirtyje dirbtam laikui. </w:t>
      </w:r>
    </w:p>
    <w:p w14:paraId="0FCABDE6" w14:textId="77777777" w:rsidR="00950409" w:rsidRPr="003E267B" w:rsidRDefault="00950409" w:rsidP="00950409">
      <w:pPr>
        <w:rPr>
          <w:rFonts w:asciiTheme="majorHAnsi" w:hAnsiTheme="majorHAnsi" w:cstheme="majorHAnsi"/>
        </w:rPr>
      </w:pPr>
      <w:r w:rsidRPr="00196102">
        <w:rPr>
          <w:rFonts w:asciiTheme="majorHAnsi" w:hAnsiTheme="majorHAnsi" w:cstheme="majorHAnsi"/>
        </w:rPr>
        <w:t xml:space="preserve">11. Galiojančios Audito komiteto nario veiklos sutarties </w:t>
      </w:r>
      <w:r w:rsidRPr="003E267B">
        <w:rPr>
          <w:rFonts w:asciiTheme="majorHAnsi" w:hAnsiTheme="majorHAnsi" w:cstheme="majorHAnsi"/>
        </w:rPr>
        <w:t xml:space="preserve">laikotarpiu komiteto narys yra apdraustas vadovų civilinės atsakomybės draudimu. </w:t>
      </w:r>
    </w:p>
    <w:p w14:paraId="12F3A0F3"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12. Jei vykdant Audito komiteto nario funkcijas reikia patirti pagristų kelionės išlaidų (įskaitant, bet neapsiribojant, kelionės, apgyvendinimo ne Bendrovės veiklos vietoje, transporto, maitinimo kelionės metu), susijusių su komiteto nario funkcijų atlikimu, Bendrovė įsipareigoja padengti tiesiogiai arba kompensuoti komiteto nariui tokias pagrįstas išlaidas, jeigu jos iš anksto buvo aptartos su Bendrove. </w:t>
      </w:r>
    </w:p>
    <w:p w14:paraId="1B4ADC19"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13. Kandidatų į nepriklausomus Audito komiteto narius atrankos metodas - interviu. </w:t>
      </w:r>
    </w:p>
    <w:p w14:paraId="3712276F" w14:textId="0F5595F0" w:rsidR="00950409" w:rsidRPr="001F4DEC" w:rsidRDefault="00950409" w:rsidP="00950409">
      <w:pPr>
        <w:rPr>
          <w:rFonts w:asciiTheme="majorHAnsi" w:hAnsiTheme="majorHAnsi" w:cstheme="majorHAnsi"/>
        </w:rPr>
      </w:pPr>
      <w:r w:rsidRPr="001F4DEC">
        <w:rPr>
          <w:rFonts w:asciiTheme="majorHAnsi" w:hAnsiTheme="majorHAnsi" w:cstheme="majorHAnsi"/>
        </w:rPr>
        <w:t xml:space="preserve">14. Kandidatų asmens duomenys atrankos metu bus tvarkomi vadovaujantis AB „Klaipėdos </w:t>
      </w:r>
      <w:r w:rsidR="00196102" w:rsidRPr="001F4DEC">
        <w:rPr>
          <w:rFonts w:asciiTheme="majorHAnsi" w:hAnsiTheme="majorHAnsi" w:cstheme="majorHAnsi"/>
        </w:rPr>
        <w:t>vanduo</w:t>
      </w:r>
      <w:r w:rsidRPr="001F4DEC">
        <w:rPr>
          <w:rFonts w:asciiTheme="majorHAnsi" w:hAnsiTheme="majorHAnsi" w:cstheme="majorHAnsi"/>
        </w:rPr>
        <w:t xml:space="preserve">“ Asmens duomenų privatumo politika. </w:t>
      </w:r>
    </w:p>
    <w:p w14:paraId="0F51698F"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15. Kandidatas turi atitikti bendruosius, </w:t>
      </w:r>
      <w:proofErr w:type="spellStart"/>
      <w:r w:rsidRPr="00196102">
        <w:rPr>
          <w:rFonts w:asciiTheme="majorHAnsi" w:hAnsiTheme="majorHAnsi" w:cstheme="majorHAnsi"/>
        </w:rPr>
        <w:t>reputacinius</w:t>
      </w:r>
      <w:proofErr w:type="spellEnd"/>
      <w:r w:rsidRPr="00196102">
        <w:rPr>
          <w:rFonts w:asciiTheme="majorHAnsi" w:hAnsiTheme="majorHAnsi" w:cstheme="majorHAnsi"/>
        </w:rPr>
        <w:t xml:space="preserve">, nepriklausomumo, kvalifikacijos ir kompetencijų reikalavimus, išvardintus šiame apraše ir prieduose. </w:t>
      </w:r>
    </w:p>
    <w:p w14:paraId="7F60DAB3" w14:textId="77777777" w:rsidR="00950409" w:rsidRPr="00196102" w:rsidRDefault="00950409" w:rsidP="00950409">
      <w:pPr>
        <w:rPr>
          <w:rFonts w:asciiTheme="majorHAnsi" w:hAnsiTheme="majorHAnsi" w:cstheme="majorHAnsi"/>
        </w:rPr>
      </w:pPr>
    </w:p>
    <w:p w14:paraId="782783F4" w14:textId="1EFE2140" w:rsidR="00950409" w:rsidRPr="00196102" w:rsidRDefault="00950409" w:rsidP="00950409">
      <w:pPr>
        <w:jc w:val="center"/>
        <w:rPr>
          <w:rFonts w:asciiTheme="majorHAnsi" w:hAnsiTheme="majorHAnsi" w:cstheme="majorHAnsi"/>
          <w:b/>
          <w:bCs/>
        </w:rPr>
      </w:pPr>
      <w:r w:rsidRPr="00196102">
        <w:rPr>
          <w:rFonts w:asciiTheme="majorHAnsi" w:hAnsiTheme="majorHAnsi" w:cstheme="majorHAnsi"/>
          <w:b/>
          <w:bCs/>
        </w:rPr>
        <w:t>II. Reikalavimai kandidatams</w:t>
      </w:r>
    </w:p>
    <w:p w14:paraId="58C2C6F5"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 Bendrieji reikalavimai kandidatams į nepriklausomus AK narius ir reikalavimai kandidatų reputacijai: </w:t>
      </w:r>
    </w:p>
    <w:p w14:paraId="7B6F4841"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16.1. Turėti aukštąjį universitetinį ar jam prilygintą išsilavinimą; </w:t>
      </w:r>
    </w:p>
    <w:p w14:paraId="1A2D1578"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16.2. Kandidatui turi būti neatimta ir neapribota teisė eiti atitinkamas pareigas ir atlikti toms pareigoms priskirtas funkcijas; </w:t>
      </w:r>
    </w:p>
    <w:p w14:paraId="0723710A"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16.3. Per pastaruosius 5 (penkerius) metus Kandidatas negali būti atšauktas iš juridinio asmens organo dėl netinkamo pareigų vykdymo; </w:t>
      </w:r>
    </w:p>
    <w:p w14:paraId="1DB9131B"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16.4. Turi būti nesusijęs su kitais fiziniais ir juridiniais asmenimis ryšiais, dėl kurių einant Kolegialaus organo nepriklausomo nario pareigas kiltų interesų konfliktas; </w:t>
      </w:r>
    </w:p>
    <w:p w14:paraId="16AF6439"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16.5. Turi nebūti aplinkybių, numatytų Lietuvos Respublikos viešųjų ir privačių interesų derinimo valstybinėje tarnyboje įstatymo 5 skirsnyje, dėl kurių Kandidatas negali dirbti valstybės valdomos bendrovės vadovu ar būti Kolegialaus organo nariu; </w:t>
      </w:r>
    </w:p>
    <w:p w14:paraId="043507F8"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16.6. Kandidatu negali būti svarstomas asmuo, kuriam neišnykęs teistumas už bet kokią nusikalstamą veiką; </w:t>
      </w:r>
    </w:p>
    <w:p w14:paraId="12485EC8" w14:textId="77777777" w:rsidR="00950409" w:rsidRPr="003E267B" w:rsidRDefault="00950409" w:rsidP="00950409">
      <w:pPr>
        <w:rPr>
          <w:rFonts w:asciiTheme="majorHAnsi" w:hAnsiTheme="majorHAnsi" w:cstheme="majorHAnsi"/>
        </w:rPr>
      </w:pPr>
      <w:r w:rsidRPr="00196102">
        <w:rPr>
          <w:rFonts w:asciiTheme="majorHAnsi" w:hAnsiTheme="majorHAnsi" w:cstheme="majorHAnsi"/>
        </w:rPr>
        <w:t xml:space="preserve">16.7. Kandidatu negali būti svarstomas asmuo, kurio įgaliojimas atstovauti valstybei ar savivaldybei per </w:t>
      </w:r>
      <w:r w:rsidRPr="003E267B">
        <w:rPr>
          <w:rFonts w:asciiTheme="majorHAnsi" w:hAnsiTheme="majorHAnsi" w:cstheme="majorHAnsi"/>
        </w:rPr>
        <w:t xml:space="preserve">pastaruosius 5 (penkerius) metus panaikintas dėl netinkamo atstovavimo; </w:t>
      </w:r>
    </w:p>
    <w:p w14:paraId="38160DC0" w14:textId="77777777" w:rsidR="00950409" w:rsidRPr="003E267B" w:rsidRDefault="00950409" w:rsidP="00950409">
      <w:pPr>
        <w:rPr>
          <w:rFonts w:asciiTheme="majorHAnsi" w:hAnsiTheme="majorHAnsi" w:cstheme="majorHAnsi"/>
        </w:rPr>
      </w:pPr>
      <w:r w:rsidRPr="003E267B">
        <w:rPr>
          <w:rFonts w:asciiTheme="majorHAnsi" w:hAnsiTheme="majorHAnsi" w:cstheme="majorHAnsi"/>
        </w:rPr>
        <w:t xml:space="preserve">16.8. Kandidatas turi atitikti specialiuosius reikalavimus, kuriuos savo sprendimu nustato atranką inicijuojantis subjektas – Valdyba. </w:t>
      </w:r>
    </w:p>
    <w:p w14:paraId="05FA0205" w14:textId="02E346C5" w:rsidR="00950409" w:rsidRPr="003E267B" w:rsidRDefault="00950409" w:rsidP="00950409">
      <w:pPr>
        <w:rPr>
          <w:rFonts w:asciiTheme="majorHAnsi" w:hAnsiTheme="majorHAnsi" w:cstheme="majorHAnsi"/>
        </w:rPr>
      </w:pPr>
      <w:r w:rsidRPr="00196102">
        <w:rPr>
          <w:rFonts w:asciiTheme="majorHAnsi" w:hAnsiTheme="majorHAnsi" w:cstheme="majorHAnsi"/>
        </w:rPr>
        <w:t xml:space="preserve">17. Nepriekaištingos reputacijos, nepriklausomumo ir sąžiningumo reikalavimų kriterijai Kandidatams į nepriklausomus Audito komiteto narius pateikti Kandidato į AB „Klaipėdos </w:t>
      </w:r>
      <w:r w:rsidR="00107D4C">
        <w:rPr>
          <w:rFonts w:asciiTheme="majorHAnsi" w:hAnsiTheme="majorHAnsi" w:cstheme="majorHAnsi"/>
        </w:rPr>
        <w:t>vanduo</w:t>
      </w:r>
      <w:r w:rsidRPr="00196102">
        <w:rPr>
          <w:rFonts w:asciiTheme="majorHAnsi" w:hAnsiTheme="majorHAnsi" w:cstheme="majorHAnsi"/>
        </w:rPr>
        <w:t xml:space="preserve">“ nepriklausomus </w:t>
      </w:r>
      <w:r w:rsidRPr="003E267B">
        <w:rPr>
          <w:rFonts w:asciiTheme="majorHAnsi" w:hAnsiTheme="majorHAnsi" w:cstheme="majorHAnsi"/>
        </w:rPr>
        <w:lastRenderedPageBreak/>
        <w:t xml:space="preserve">Komiteto narius Interesų deklaracijoje (1 Priedas) ir Kandidato sutikimo dalyvauti atrankoje deklaracijoje (2 Priedas), Nepriekaištingos reputacijos deklaracijoje (Priedas Nr. 3). </w:t>
      </w:r>
    </w:p>
    <w:p w14:paraId="2FC9F3D1" w14:textId="77777777" w:rsidR="00950409" w:rsidRPr="00196102" w:rsidRDefault="00950409" w:rsidP="00950409">
      <w:pPr>
        <w:rPr>
          <w:rFonts w:asciiTheme="majorHAnsi" w:hAnsiTheme="majorHAnsi" w:cstheme="majorHAnsi"/>
        </w:rPr>
      </w:pPr>
    </w:p>
    <w:p w14:paraId="72D0E368" w14:textId="77777777" w:rsidR="00950409" w:rsidRPr="00196102" w:rsidRDefault="00950409" w:rsidP="00950409">
      <w:pPr>
        <w:jc w:val="center"/>
        <w:rPr>
          <w:rFonts w:asciiTheme="majorHAnsi" w:hAnsiTheme="majorHAnsi" w:cstheme="majorHAnsi"/>
          <w:b/>
          <w:bCs/>
        </w:rPr>
      </w:pPr>
      <w:r w:rsidRPr="00196102">
        <w:rPr>
          <w:rFonts w:asciiTheme="majorHAnsi" w:hAnsiTheme="majorHAnsi" w:cstheme="majorHAnsi"/>
          <w:b/>
          <w:bCs/>
        </w:rPr>
        <w:t>III. Kvalifikacijos ir kompetencijų reikalavimai kandidatams į nepriklausomus Audito komiteto narius</w:t>
      </w:r>
    </w:p>
    <w:p w14:paraId="5075363B" w14:textId="77777777" w:rsidR="00950409" w:rsidRPr="00196102" w:rsidRDefault="00950409" w:rsidP="00950409">
      <w:pPr>
        <w:jc w:val="center"/>
        <w:rPr>
          <w:rFonts w:asciiTheme="majorHAnsi" w:hAnsiTheme="majorHAnsi" w:cstheme="majorHAnsi"/>
        </w:rPr>
      </w:pPr>
    </w:p>
    <w:p w14:paraId="290D0323"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18. Vertinant Kandidatus į nepriklausomus Audito komiteto narius, prioritetas teikiamas Kandidato kompetencijai, galinčiai geriausiai prisidėti prie Bendrovės strateginių tikslų įgyvendinimo ir poreikių užtikrinimo, kad kokybiškai AK veiklai būtų užtikrintos visos reikalingos kompetencijos, atsižvelgiant į komiteto atsakomybę ir priimamus sprendimus. </w:t>
      </w:r>
    </w:p>
    <w:p w14:paraId="32D2F659" w14:textId="77777777" w:rsidR="00950409" w:rsidRPr="003E267B" w:rsidRDefault="00950409" w:rsidP="00950409">
      <w:pPr>
        <w:rPr>
          <w:rFonts w:asciiTheme="majorHAnsi" w:hAnsiTheme="majorHAnsi" w:cstheme="majorHAnsi"/>
        </w:rPr>
      </w:pPr>
      <w:r w:rsidRPr="00196102">
        <w:rPr>
          <w:rFonts w:asciiTheme="majorHAnsi" w:hAnsiTheme="majorHAnsi" w:cstheme="majorHAnsi"/>
        </w:rPr>
        <w:t xml:space="preserve">19. Audito komiteto kompetencijų sričiai nustatomi specialieji reikalavimai, atitikimas kuriuos padėtų </w:t>
      </w:r>
      <w:r w:rsidRPr="003E267B">
        <w:rPr>
          <w:rFonts w:asciiTheme="majorHAnsi" w:hAnsiTheme="majorHAnsi" w:cstheme="majorHAnsi"/>
        </w:rPr>
        <w:t xml:space="preserve">užtikrinti Lietuvos Respublikos akcinių bendrovių įstatyme, Finansinės atskaitomybės įstatyme ir įstatuose nustatytų Audito komiteto kompetencijų suformavimą. </w:t>
      </w:r>
    </w:p>
    <w:p w14:paraId="0454A990" w14:textId="77777777" w:rsidR="00950409" w:rsidRPr="003E267B" w:rsidRDefault="00950409" w:rsidP="00950409">
      <w:pPr>
        <w:rPr>
          <w:rFonts w:asciiTheme="majorHAnsi" w:hAnsiTheme="majorHAnsi" w:cstheme="majorHAnsi"/>
        </w:rPr>
      </w:pPr>
      <w:r w:rsidRPr="003E267B">
        <w:rPr>
          <w:rFonts w:asciiTheme="majorHAnsi" w:hAnsiTheme="majorHAnsi" w:cstheme="majorHAnsi"/>
        </w:rPr>
        <w:t xml:space="preserve">20. Kandidatų į nepriklausomus Audito komiteto narius kompetencijos turi atitikti Audito komiteto kuruojamas pagrindines sritis. </w:t>
      </w:r>
    </w:p>
    <w:p w14:paraId="0A35E0C4" w14:textId="77777777" w:rsidR="00950409" w:rsidRPr="003E267B" w:rsidRDefault="00950409" w:rsidP="00950409">
      <w:pPr>
        <w:rPr>
          <w:rFonts w:asciiTheme="majorHAnsi" w:hAnsiTheme="majorHAnsi" w:cstheme="majorHAnsi"/>
        </w:rPr>
      </w:pPr>
      <w:r w:rsidRPr="003E267B">
        <w:rPr>
          <w:rFonts w:asciiTheme="majorHAnsi" w:hAnsiTheme="majorHAnsi" w:cstheme="majorHAnsi"/>
        </w:rPr>
        <w:t xml:space="preserve">21. Atsižvelgiant į Audito komiteto kompetencijų sritis, sudaryta Kandidatų į nepriklausomus AK narius kvalifikacinių reikalavimų ir kompetencijų matrica, kuria vadovaujantis kandidatams nustatomi detalūs privalomieji ir papildomi reikalavimai (4 Priedas). </w:t>
      </w:r>
    </w:p>
    <w:p w14:paraId="24F0360E" w14:textId="77777777" w:rsidR="00950409" w:rsidRPr="00196102" w:rsidRDefault="00950409" w:rsidP="00950409">
      <w:pPr>
        <w:rPr>
          <w:rFonts w:asciiTheme="majorHAnsi" w:hAnsiTheme="majorHAnsi" w:cstheme="majorHAnsi"/>
        </w:rPr>
      </w:pPr>
    </w:p>
    <w:p w14:paraId="4F48E0D1" w14:textId="4C44F33A" w:rsidR="00950409" w:rsidRPr="00196102" w:rsidRDefault="00950409" w:rsidP="00950409">
      <w:pPr>
        <w:jc w:val="center"/>
        <w:rPr>
          <w:rFonts w:asciiTheme="majorHAnsi" w:hAnsiTheme="majorHAnsi" w:cstheme="majorHAnsi"/>
          <w:b/>
          <w:bCs/>
        </w:rPr>
      </w:pPr>
      <w:r w:rsidRPr="00196102">
        <w:rPr>
          <w:rFonts w:asciiTheme="majorHAnsi" w:hAnsiTheme="majorHAnsi" w:cstheme="majorHAnsi"/>
          <w:b/>
          <w:bCs/>
        </w:rPr>
        <w:t>IV. Atrankos procesas</w:t>
      </w:r>
    </w:p>
    <w:p w14:paraId="391DEE1F" w14:textId="77777777" w:rsidR="00950409" w:rsidRPr="00196102" w:rsidRDefault="00950409" w:rsidP="00950409">
      <w:pPr>
        <w:rPr>
          <w:rFonts w:asciiTheme="majorHAnsi" w:hAnsiTheme="majorHAnsi" w:cstheme="majorHAnsi"/>
        </w:rPr>
      </w:pPr>
    </w:p>
    <w:p w14:paraId="3C72D906"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22. Atrankos paskelbimas: </w:t>
      </w:r>
    </w:p>
    <w:p w14:paraId="1DC8D6B4"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22.1. Informacija apie skelbiamą nepriklausomų Audito komiteto narių atranką skelbiama šiuose internetiniuose šaltiniuose: </w:t>
      </w:r>
    </w:p>
    <w:p w14:paraId="2F2F53ED" w14:textId="65C31AE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22.1.1. Bendrovės internetiniame puslapyje </w:t>
      </w:r>
      <w:hyperlink r:id="rId6" w:history="1">
        <w:r w:rsidR="00393FE6" w:rsidRPr="00F8439F">
          <w:rPr>
            <w:rStyle w:val="Hipersaitas"/>
            <w:rFonts w:asciiTheme="majorHAnsi" w:hAnsiTheme="majorHAnsi" w:cstheme="majorHAnsi"/>
          </w:rPr>
          <w:t>https://www.vanduo.lt/naujienos/</w:t>
        </w:r>
      </w:hyperlink>
      <w:r w:rsidR="00393FE6" w:rsidRPr="00393FE6">
        <w:rPr>
          <w:rFonts w:asciiTheme="majorHAnsi" w:hAnsiTheme="majorHAnsi" w:cstheme="majorHAnsi"/>
          <w:color w:val="4472C4" w:themeColor="accent1"/>
        </w:rPr>
        <w:t xml:space="preserve">. </w:t>
      </w:r>
      <w:r w:rsidRPr="00393FE6">
        <w:rPr>
          <w:rFonts w:asciiTheme="majorHAnsi" w:hAnsiTheme="majorHAnsi" w:cstheme="majorHAnsi"/>
          <w:color w:val="4472C4" w:themeColor="accent1"/>
        </w:rPr>
        <w:t xml:space="preserve"> </w:t>
      </w:r>
    </w:p>
    <w:p w14:paraId="266659CE" w14:textId="2DAD7585"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22.1.2. Klaipėdos miesto savivaldybės internetiniame puslapyje </w:t>
      </w:r>
      <w:hyperlink r:id="rId7" w:history="1">
        <w:r w:rsidR="00196102" w:rsidRPr="00B20F2E">
          <w:rPr>
            <w:rStyle w:val="Hipersaitas"/>
            <w:rFonts w:asciiTheme="majorHAnsi" w:hAnsiTheme="majorHAnsi" w:cstheme="majorHAnsi"/>
          </w:rPr>
          <w:t>www.klaipeda.lt</w:t>
        </w:r>
      </w:hyperlink>
      <w:r w:rsidR="00393FE6">
        <w:rPr>
          <w:rFonts w:asciiTheme="majorHAnsi" w:hAnsiTheme="majorHAnsi" w:cstheme="majorHAnsi"/>
          <w:color w:val="0070C0"/>
        </w:rPr>
        <w:t>.</w:t>
      </w:r>
      <w:r w:rsidRPr="00393FE6">
        <w:rPr>
          <w:rFonts w:asciiTheme="majorHAnsi" w:hAnsiTheme="majorHAnsi" w:cstheme="majorHAnsi"/>
          <w:color w:val="0070C0"/>
        </w:rPr>
        <w:t xml:space="preserve"> </w:t>
      </w:r>
    </w:p>
    <w:p w14:paraId="110DD0F0" w14:textId="6DE4B273" w:rsidR="00950409" w:rsidRPr="00196102" w:rsidRDefault="00950409" w:rsidP="00950409">
      <w:pPr>
        <w:rPr>
          <w:rFonts w:asciiTheme="majorHAnsi" w:hAnsiTheme="majorHAnsi" w:cstheme="majorHAnsi"/>
          <w:color w:val="FF0000"/>
        </w:rPr>
      </w:pPr>
      <w:r w:rsidRPr="00196102">
        <w:rPr>
          <w:rFonts w:asciiTheme="majorHAnsi" w:hAnsiTheme="majorHAnsi" w:cstheme="majorHAnsi"/>
        </w:rPr>
        <w:t>22.1.</w:t>
      </w:r>
      <w:r w:rsidR="00196102">
        <w:rPr>
          <w:rFonts w:asciiTheme="majorHAnsi" w:hAnsiTheme="majorHAnsi" w:cstheme="majorHAnsi"/>
        </w:rPr>
        <w:t>3</w:t>
      </w:r>
      <w:r w:rsidRPr="00196102">
        <w:rPr>
          <w:rFonts w:asciiTheme="majorHAnsi" w:hAnsiTheme="majorHAnsi" w:cstheme="majorHAnsi"/>
        </w:rPr>
        <w:t xml:space="preserve">. Valdymo koordinavimo centro internetiniame puslapyje </w:t>
      </w:r>
      <w:hyperlink r:id="rId8" w:history="1">
        <w:r w:rsidR="00393FE6" w:rsidRPr="00F8439F">
          <w:rPr>
            <w:rStyle w:val="Hipersaitas"/>
            <w:rFonts w:asciiTheme="majorHAnsi" w:hAnsiTheme="majorHAnsi" w:cstheme="majorHAnsi"/>
          </w:rPr>
          <w:t>https://governance.lt</w:t>
        </w:r>
      </w:hyperlink>
      <w:r w:rsidR="00393FE6">
        <w:rPr>
          <w:rFonts w:asciiTheme="majorHAnsi" w:hAnsiTheme="majorHAnsi" w:cstheme="majorHAnsi"/>
        </w:rPr>
        <w:t>.</w:t>
      </w:r>
      <w:r w:rsidRPr="00196102">
        <w:rPr>
          <w:rFonts w:asciiTheme="majorHAnsi" w:hAnsiTheme="majorHAnsi" w:cstheme="majorHAnsi"/>
          <w:color w:val="FF0000"/>
        </w:rPr>
        <w:t xml:space="preserve"> </w:t>
      </w:r>
    </w:p>
    <w:p w14:paraId="41B9BA21" w14:textId="2A228D35" w:rsidR="00950409" w:rsidRPr="00196102" w:rsidRDefault="00950409" w:rsidP="00950409">
      <w:pPr>
        <w:rPr>
          <w:rFonts w:asciiTheme="majorHAnsi" w:hAnsiTheme="majorHAnsi" w:cstheme="majorHAnsi"/>
          <w:b/>
          <w:bCs/>
        </w:rPr>
      </w:pPr>
      <w:r w:rsidRPr="00196102">
        <w:rPr>
          <w:rFonts w:asciiTheme="majorHAnsi" w:hAnsiTheme="majorHAnsi" w:cstheme="majorHAnsi"/>
        </w:rPr>
        <w:t xml:space="preserve">23. Dalyvavimas atrankoje. Dokumentus teikti galima iki </w:t>
      </w:r>
      <w:r w:rsidRPr="00393FE6">
        <w:rPr>
          <w:rFonts w:asciiTheme="majorHAnsi" w:hAnsiTheme="majorHAnsi" w:cstheme="majorHAnsi"/>
          <w:b/>
          <w:bCs/>
          <w:color w:val="000000" w:themeColor="text1"/>
        </w:rPr>
        <w:t xml:space="preserve">2024 m. vasario </w:t>
      </w:r>
      <w:r w:rsidR="001F4DEC" w:rsidRPr="00393FE6">
        <w:rPr>
          <w:rFonts w:asciiTheme="majorHAnsi" w:hAnsiTheme="majorHAnsi" w:cstheme="majorHAnsi"/>
          <w:b/>
          <w:bCs/>
          <w:color w:val="000000" w:themeColor="text1"/>
        </w:rPr>
        <w:t>23</w:t>
      </w:r>
      <w:r w:rsidRPr="00393FE6">
        <w:rPr>
          <w:rFonts w:asciiTheme="majorHAnsi" w:hAnsiTheme="majorHAnsi" w:cstheme="majorHAnsi"/>
          <w:b/>
          <w:bCs/>
          <w:color w:val="000000" w:themeColor="text1"/>
        </w:rPr>
        <w:t xml:space="preserve"> d. </w:t>
      </w:r>
      <w:r w:rsidRPr="00196102">
        <w:rPr>
          <w:rFonts w:asciiTheme="majorHAnsi" w:hAnsiTheme="majorHAnsi" w:cstheme="majorHAnsi"/>
          <w:b/>
          <w:bCs/>
        </w:rPr>
        <w:t>(imtinai)</w:t>
      </w:r>
      <w:r w:rsidRPr="00196102">
        <w:rPr>
          <w:rFonts w:asciiTheme="majorHAnsi" w:hAnsiTheme="majorHAnsi" w:cstheme="majorHAnsi"/>
        </w:rPr>
        <w:t xml:space="preserve"> pateikiant juos elektroninio pašto adresu </w:t>
      </w:r>
      <w:hyperlink r:id="rId9" w:history="1">
        <w:r w:rsidR="00393FE6" w:rsidRPr="00F8439F">
          <w:rPr>
            <w:rStyle w:val="Hipersaitas"/>
            <w:rFonts w:asciiTheme="majorHAnsi" w:hAnsiTheme="majorHAnsi" w:cstheme="majorHAnsi"/>
          </w:rPr>
          <w:t>info</w:t>
        </w:r>
        <w:r w:rsidR="00393FE6" w:rsidRPr="00F8439F">
          <w:rPr>
            <w:rStyle w:val="Hipersaitas"/>
            <w:rFonts w:asciiTheme="majorHAnsi" w:hAnsiTheme="majorHAnsi" w:cstheme="majorHAnsi"/>
            <w:lang w:val="en-US"/>
          </w:rPr>
          <w:t>@vanduo.lt</w:t>
        </w:r>
      </w:hyperlink>
      <w:r w:rsidR="00393FE6">
        <w:rPr>
          <w:rFonts w:asciiTheme="majorHAnsi" w:hAnsiTheme="majorHAnsi" w:cstheme="majorHAnsi"/>
          <w:lang w:val="en-US"/>
        </w:rPr>
        <w:t xml:space="preserve"> </w:t>
      </w:r>
      <w:r w:rsidRPr="00196102">
        <w:rPr>
          <w:rFonts w:asciiTheme="majorHAnsi" w:hAnsiTheme="majorHAnsi" w:cstheme="majorHAnsi"/>
        </w:rPr>
        <w:t xml:space="preserve"> nuoroda „Audito komiteto narys“ nurodant kompetencijos sritį. Kontaktinis telefonas pasiteiravimui </w:t>
      </w:r>
      <w:r w:rsidR="00393FE6">
        <w:rPr>
          <w:rFonts w:asciiTheme="majorHAnsi" w:hAnsiTheme="majorHAnsi" w:cstheme="majorHAnsi"/>
        </w:rPr>
        <w:t>+370 645 55480.</w:t>
      </w:r>
    </w:p>
    <w:p w14:paraId="13C7E13E"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 Kandidatas privalo pateikti: </w:t>
      </w:r>
    </w:p>
    <w:p w14:paraId="2F62EE4F"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24.1.1. Gyvenimo aprašymą (CV); </w:t>
      </w:r>
    </w:p>
    <w:p w14:paraId="6C155F64"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24.1.2. Motyvacinį laišką; </w:t>
      </w:r>
    </w:p>
    <w:p w14:paraId="1E4E3C56"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24.1.3. Kandidato tapatybę patvirtinančio asmens dokumento kopiją; </w:t>
      </w:r>
    </w:p>
    <w:p w14:paraId="13008C8B"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24.1.4. Aukštojo išsilavinimo diplomų kopijas; </w:t>
      </w:r>
    </w:p>
    <w:p w14:paraId="37877561" w14:textId="4E029DBF" w:rsidR="00950409" w:rsidRPr="00196102" w:rsidRDefault="00950409" w:rsidP="00950409">
      <w:pPr>
        <w:rPr>
          <w:rFonts w:asciiTheme="majorHAnsi" w:hAnsiTheme="majorHAnsi" w:cstheme="majorHAnsi"/>
          <w:color w:val="FF0000"/>
        </w:rPr>
      </w:pPr>
      <w:r w:rsidRPr="00196102">
        <w:rPr>
          <w:rFonts w:asciiTheme="majorHAnsi" w:hAnsiTheme="majorHAnsi" w:cstheme="majorHAnsi"/>
        </w:rPr>
        <w:t xml:space="preserve">24.1.5. Pasirašytą Kandidato Interesų </w:t>
      </w:r>
      <w:r w:rsidRPr="00393FE6">
        <w:rPr>
          <w:rFonts w:asciiTheme="majorHAnsi" w:hAnsiTheme="majorHAnsi" w:cstheme="majorHAnsi"/>
        </w:rPr>
        <w:t xml:space="preserve">deklaraciją (1 Priedas); </w:t>
      </w:r>
    </w:p>
    <w:p w14:paraId="69B5CD57"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24.1.6. Pasirašytą Kandidato paraišką dalyvauti atrankoje ir sąžiningumo </w:t>
      </w:r>
      <w:r w:rsidRPr="00393FE6">
        <w:rPr>
          <w:rFonts w:asciiTheme="majorHAnsi" w:hAnsiTheme="majorHAnsi" w:cstheme="majorHAnsi"/>
        </w:rPr>
        <w:t>deklaraciją (2 Priedas);</w:t>
      </w:r>
    </w:p>
    <w:p w14:paraId="4C89E01E"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24.1.7. Pasirašytą Kandidato Nepriekaištingos reputacijos </w:t>
      </w:r>
      <w:r w:rsidRPr="007256F9">
        <w:rPr>
          <w:rFonts w:asciiTheme="majorHAnsi" w:hAnsiTheme="majorHAnsi" w:cstheme="majorHAnsi"/>
        </w:rPr>
        <w:t xml:space="preserve">deklaraciją (3 Priedas). </w:t>
      </w:r>
    </w:p>
    <w:p w14:paraId="04A00DED" w14:textId="4B1331F2" w:rsidR="00950409" w:rsidRPr="00393FE6" w:rsidRDefault="00950409" w:rsidP="00950409">
      <w:pPr>
        <w:rPr>
          <w:rFonts w:asciiTheme="majorHAnsi" w:hAnsiTheme="majorHAnsi" w:cstheme="majorHAnsi"/>
        </w:rPr>
      </w:pPr>
      <w:r w:rsidRPr="00393FE6">
        <w:rPr>
          <w:rFonts w:asciiTheme="majorHAnsi" w:hAnsiTheme="majorHAnsi" w:cstheme="majorHAnsi"/>
        </w:rPr>
        <w:t xml:space="preserve">25. Atrankos komisija, sudaroma iš visų Bendrovės valdybos narių, Bendrovės vadovo bei Bendrovės Finansų </w:t>
      </w:r>
      <w:r w:rsidR="00383669" w:rsidRPr="00393FE6">
        <w:rPr>
          <w:rFonts w:asciiTheme="majorHAnsi" w:hAnsiTheme="majorHAnsi" w:cstheme="majorHAnsi"/>
        </w:rPr>
        <w:t>departamento</w:t>
      </w:r>
      <w:r w:rsidRPr="00393FE6">
        <w:rPr>
          <w:rFonts w:asciiTheme="majorHAnsi" w:hAnsiTheme="majorHAnsi" w:cstheme="majorHAnsi"/>
        </w:rPr>
        <w:t xml:space="preserve"> direktor</w:t>
      </w:r>
      <w:r w:rsidR="00383669" w:rsidRPr="00393FE6">
        <w:rPr>
          <w:rFonts w:asciiTheme="majorHAnsi" w:hAnsiTheme="majorHAnsi" w:cstheme="majorHAnsi"/>
        </w:rPr>
        <w:t>iau</w:t>
      </w:r>
      <w:r w:rsidRPr="00393FE6">
        <w:rPr>
          <w:rFonts w:asciiTheme="majorHAnsi" w:hAnsiTheme="majorHAnsi" w:cstheme="majorHAnsi"/>
        </w:rPr>
        <w:t xml:space="preserve">s, gali paprašyti papildomų dokumentų, patvirtinančių atitiktį aukščiau nurodytiems bendriesiems, specialiesiems bei kitiems reikalavimams. </w:t>
      </w:r>
    </w:p>
    <w:p w14:paraId="1FC3E3B8"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26. Kandidatai laikomi atitinkančiais atrankos reikalavimus ir gali dalyvauti konkurse, jei pateikė visus prašomus dokumentus ir deklaracijas, yra susipažinę su teisiniais įsipareigojimais, atsirandančiais einant kolegialaus organo nario pareigas, taip pat įsipareigoja skirti pakankamai laiko ir dėmesio kolegialaus organo nario pareigoms atlikti kolegialaus organo planuojamuose posėdžiuose ir kt. </w:t>
      </w:r>
    </w:p>
    <w:p w14:paraId="602F3CB3"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 Atrankos vykdymas: </w:t>
      </w:r>
    </w:p>
    <w:p w14:paraId="07A0CA5F"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27.1. Pirmas atrankos etapas – atranka pagal CV ir motyvaciniame laiške pateiktus duomenis, prireikus – kandidatai kviečiami pokalbiui; </w:t>
      </w:r>
    </w:p>
    <w:p w14:paraId="5C8E204E"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27.2. Antras atrankos etapas – kandidatų vertinimas, pokalbiai su atrinktais kandidatais; </w:t>
      </w:r>
    </w:p>
    <w:p w14:paraId="11578A86"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27.3. Trečias atrankos etapas – kompetencijų vertinimas ir rekomendacijų tikrinimas (esant poreikiui); </w:t>
      </w:r>
    </w:p>
    <w:p w14:paraId="06E4623E"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27.4. Ketvirtas atrankos etapas – galimų skirti kandidatų patikra teisės aktų nustatyta tvarka; </w:t>
      </w:r>
    </w:p>
    <w:p w14:paraId="5B2F353D" w14:textId="77777777" w:rsidR="00950409" w:rsidRPr="00196102" w:rsidRDefault="00950409" w:rsidP="00950409">
      <w:pPr>
        <w:rPr>
          <w:rFonts w:asciiTheme="majorHAnsi" w:hAnsiTheme="majorHAnsi" w:cstheme="majorHAnsi"/>
        </w:rPr>
      </w:pPr>
      <w:r w:rsidRPr="00196102">
        <w:rPr>
          <w:rFonts w:asciiTheme="majorHAnsi" w:hAnsiTheme="majorHAnsi" w:cstheme="majorHAnsi"/>
        </w:rPr>
        <w:t xml:space="preserve">27.5. Galutinis etapas – Bendrovės Valdybos sprendimas dėl nepriklausomų Audito komiteto narių išrinkimo. </w:t>
      </w:r>
    </w:p>
    <w:p w14:paraId="5CDB6CC2" w14:textId="77777777" w:rsidR="00BB1BA5" w:rsidRPr="00196102" w:rsidRDefault="00950409" w:rsidP="00950409">
      <w:pPr>
        <w:rPr>
          <w:rFonts w:asciiTheme="majorHAnsi" w:hAnsiTheme="majorHAnsi" w:cstheme="majorHAnsi"/>
        </w:rPr>
      </w:pPr>
      <w:r w:rsidRPr="00196102">
        <w:rPr>
          <w:rFonts w:asciiTheme="majorHAnsi" w:hAnsiTheme="majorHAnsi" w:cstheme="majorHAnsi"/>
        </w:rPr>
        <w:t xml:space="preserve">27.6. Atrankos į Bendrovės nepriklausomus Audito komiteto narius procesas bus vykdomas pagal pridedamą veiksmų planą (4 Priedas). </w:t>
      </w:r>
    </w:p>
    <w:p w14:paraId="2E67F133" w14:textId="77777777" w:rsidR="00BB1BA5" w:rsidRPr="00196102" w:rsidRDefault="00BB1BA5" w:rsidP="00950409">
      <w:pPr>
        <w:rPr>
          <w:rFonts w:asciiTheme="majorHAnsi" w:hAnsiTheme="majorHAnsi" w:cstheme="majorHAnsi"/>
        </w:rPr>
      </w:pPr>
    </w:p>
    <w:p w14:paraId="78651FD5" w14:textId="5A8335C6" w:rsidR="00BB1BA5" w:rsidRPr="00196102" w:rsidRDefault="00950409" w:rsidP="00BB1BA5">
      <w:pPr>
        <w:jc w:val="center"/>
        <w:rPr>
          <w:rFonts w:asciiTheme="majorHAnsi" w:hAnsiTheme="majorHAnsi" w:cstheme="majorHAnsi"/>
          <w:b/>
          <w:bCs/>
        </w:rPr>
      </w:pPr>
      <w:r w:rsidRPr="00196102">
        <w:rPr>
          <w:rFonts w:asciiTheme="majorHAnsi" w:hAnsiTheme="majorHAnsi" w:cstheme="majorHAnsi"/>
          <w:b/>
          <w:bCs/>
        </w:rPr>
        <w:t>VI. Papildoma informacija</w:t>
      </w:r>
    </w:p>
    <w:p w14:paraId="44CDB63D" w14:textId="77777777" w:rsidR="00BB1BA5" w:rsidRPr="00196102" w:rsidRDefault="00BB1BA5" w:rsidP="00BB1BA5">
      <w:pPr>
        <w:jc w:val="center"/>
        <w:rPr>
          <w:rFonts w:asciiTheme="majorHAnsi" w:hAnsiTheme="majorHAnsi" w:cstheme="majorHAnsi"/>
          <w:b/>
          <w:bCs/>
        </w:rPr>
      </w:pPr>
    </w:p>
    <w:p w14:paraId="7EAB96EF" w14:textId="78207646" w:rsidR="00BB1BA5" w:rsidRPr="00196102" w:rsidRDefault="00950409" w:rsidP="00950409">
      <w:pPr>
        <w:rPr>
          <w:rFonts w:asciiTheme="majorHAnsi" w:hAnsiTheme="majorHAnsi" w:cstheme="majorHAnsi"/>
        </w:rPr>
      </w:pPr>
      <w:r w:rsidRPr="00196102">
        <w:rPr>
          <w:rFonts w:asciiTheme="majorHAnsi" w:hAnsiTheme="majorHAnsi" w:cstheme="majorHAnsi"/>
        </w:rPr>
        <w:t xml:space="preserve">28. </w:t>
      </w:r>
      <w:r w:rsidR="007256F9" w:rsidRPr="00196102">
        <w:rPr>
          <w:rFonts w:asciiTheme="majorHAnsi" w:hAnsiTheme="majorHAnsi" w:cstheme="majorHAnsi"/>
        </w:rPr>
        <w:t xml:space="preserve">Daugiau informacijos apie Bendrovę internetinėje </w:t>
      </w:r>
      <w:hyperlink r:id="rId10" w:history="1">
        <w:r w:rsidR="007256F9" w:rsidRPr="007256F9">
          <w:rPr>
            <w:rStyle w:val="Hipersaitas"/>
            <w:rFonts w:asciiTheme="majorHAnsi" w:hAnsiTheme="majorHAnsi" w:cstheme="majorHAnsi"/>
            <w:color w:val="2E74B5" w:themeColor="accent5" w:themeShade="BF"/>
          </w:rPr>
          <w:t>www.vanduo.lt</w:t>
        </w:r>
      </w:hyperlink>
      <w:r w:rsidR="007256F9" w:rsidRPr="007256F9">
        <w:rPr>
          <w:rFonts w:asciiTheme="majorHAnsi" w:hAnsiTheme="majorHAnsi" w:cstheme="majorHAnsi"/>
          <w:color w:val="2E74B5" w:themeColor="accent5" w:themeShade="BF"/>
        </w:rPr>
        <w:t>.</w:t>
      </w:r>
      <w:r w:rsidRPr="007256F9">
        <w:rPr>
          <w:rFonts w:asciiTheme="majorHAnsi" w:hAnsiTheme="majorHAnsi" w:cstheme="majorHAnsi"/>
          <w:color w:val="2E74B5" w:themeColor="accent5" w:themeShade="BF"/>
        </w:rPr>
        <w:t xml:space="preserve"> </w:t>
      </w:r>
    </w:p>
    <w:p w14:paraId="3AA5325D" w14:textId="6E89E396" w:rsidR="007256F9" w:rsidRDefault="00950409" w:rsidP="00950409">
      <w:pPr>
        <w:rPr>
          <w:rFonts w:asciiTheme="majorHAnsi" w:hAnsiTheme="majorHAnsi" w:cstheme="majorHAnsi"/>
          <w:color w:val="FF0000"/>
        </w:rPr>
      </w:pPr>
      <w:r w:rsidRPr="00196102">
        <w:rPr>
          <w:rFonts w:asciiTheme="majorHAnsi" w:hAnsiTheme="majorHAnsi" w:cstheme="majorHAnsi"/>
        </w:rPr>
        <w:t xml:space="preserve">29. </w:t>
      </w:r>
      <w:r w:rsidR="007256F9" w:rsidRPr="007256F9">
        <w:rPr>
          <w:rFonts w:asciiTheme="majorHAnsi" w:hAnsiTheme="majorHAnsi" w:cstheme="majorHAnsi"/>
        </w:rPr>
        <w:t xml:space="preserve">AB „Klaipėdos vanduo” strateginiai veiklos planai </w:t>
      </w:r>
      <w:hyperlink r:id="rId11" w:history="1">
        <w:r w:rsidR="007256F9" w:rsidRPr="007256F9">
          <w:rPr>
            <w:rStyle w:val="Hipersaitas"/>
            <w:rFonts w:asciiTheme="majorHAnsi" w:hAnsiTheme="majorHAnsi" w:cstheme="majorHAnsi"/>
          </w:rPr>
          <w:t>https://www.vanduo.lt/strateginiai-bei-investiciniai-veiklos-planai/</w:t>
        </w:r>
      </w:hyperlink>
      <w:r w:rsidR="007256F9">
        <w:rPr>
          <w:rFonts w:asciiTheme="majorHAnsi" w:hAnsiTheme="majorHAnsi" w:cstheme="majorHAnsi"/>
        </w:rPr>
        <w:t>.</w:t>
      </w:r>
      <w:r w:rsidR="007256F9" w:rsidRPr="007256F9">
        <w:rPr>
          <w:rFonts w:asciiTheme="majorHAnsi" w:hAnsiTheme="majorHAnsi" w:cstheme="majorHAnsi"/>
        </w:rPr>
        <w:t xml:space="preserve"> </w:t>
      </w:r>
      <w:r w:rsidR="007256F9" w:rsidRPr="007256F9">
        <w:rPr>
          <w:rFonts w:asciiTheme="majorHAnsi" w:hAnsiTheme="majorHAnsi" w:cstheme="majorHAnsi"/>
          <w:color w:val="FF0000"/>
        </w:rPr>
        <w:t xml:space="preserve"> </w:t>
      </w:r>
    </w:p>
    <w:p w14:paraId="6BCF38E5" w14:textId="77777777" w:rsidR="007256F9" w:rsidRDefault="007256F9" w:rsidP="00950409">
      <w:pPr>
        <w:rPr>
          <w:rFonts w:asciiTheme="majorHAnsi" w:hAnsiTheme="majorHAnsi" w:cstheme="majorHAnsi"/>
          <w:color w:val="FF0000"/>
        </w:rPr>
      </w:pPr>
      <w:r>
        <w:rPr>
          <w:rFonts w:asciiTheme="majorHAnsi" w:hAnsiTheme="majorHAnsi" w:cstheme="majorHAnsi"/>
        </w:rPr>
        <w:t xml:space="preserve">30. </w:t>
      </w:r>
      <w:r w:rsidRPr="00196102">
        <w:rPr>
          <w:rFonts w:asciiTheme="majorHAnsi" w:hAnsiTheme="majorHAnsi" w:cstheme="majorHAnsi"/>
        </w:rPr>
        <w:t xml:space="preserve">Bendrovės misija, vizija, vertybės </w:t>
      </w:r>
      <w:hyperlink r:id="rId12" w:history="1">
        <w:r w:rsidRPr="00F8439F">
          <w:rPr>
            <w:rStyle w:val="Hipersaitas"/>
            <w:rFonts w:asciiTheme="majorHAnsi" w:hAnsiTheme="majorHAnsi" w:cstheme="majorHAnsi"/>
          </w:rPr>
          <w:t>https://www.vanduo.lt/virsutinis-meniu-apie-mus/</w:t>
        </w:r>
      </w:hyperlink>
    </w:p>
    <w:p w14:paraId="6AA49115" w14:textId="280D75DE" w:rsidR="00F7005F" w:rsidRPr="007256F9" w:rsidRDefault="007256F9" w:rsidP="00F7005F">
      <w:pPr>
        <w:rPr>
          <w:rFonts w:asciiTheme="majorHAnsi" w:hAnsiTheme="majorHAnsi" w:cstheme="majorHAnsi"/>
        </w:rPr>
      </w:pPr>
      <w:r>
        <w:rPr>
          <w:rFonts w:asciiTheme="majorHAnsi" w:hAnsiTheme="majorHAnsi" w:cstheme="majorHAnsi"/>
        </w:rPr>
        <w:t xml:space="preserve">31. </w:t>
      </w:r>
      <w:r w:rsidR="00950409" w:rsidRPr="00196102">
        <w:rPr>
          <w:rFonts w:asciiTheme="majorHAnsi" w:hAnsiTheme="majorHAnsi" w:cstheme="majorHAnsi"/>
        </w:rPr>
        <w:t>Valdymo koordinavimo centro internetinėje svetainėje pateikiama informacija apie Kolegialių organų sudarymą</w:t>
      </w:r>
      <w:r>
        <w:rPr>
          <w:rFonts w:asciiTheme="majorHAnsi" w:hAnsiTheme="majorHAnsi" w:cstheme="majorHAnsi"/>
        </w:rPr>
        <w:t xml:space="preserve"> </w:t>
      </w:r>
      <w:hyperlink r:id="rId13" w:history="1">
        <w:r w:rsidRPr="007256F9">
          <w:rPr>
            <w:rStyle w:val="Hipersaitas"/>
            <w:rFonts w:asciiTheme="majorHAnsi" w:hAnsiTheme="majorHAnsi" w:cstheme="majorHAnsi"/>
            <w:color w:val="2E74B5" w:themeColor="accent5" w:themeShade="BF"/>
          </w:rPr>
          <w:t>https://governance.lt/kolegialus-organai/</w:t>
        </w:r>
      </w:hyperlink>
      <w:r w:rsidRPr="007256F9">
        <w:rPr>
          <w:rFonts w:asciiTheme="majorHAnsi" w:hAnsiTheme="majorHAnsi" w:cstheme="majorHAnsi"/>
          <w:color w:val="2E74B5" w:themeColor="accent5" w:themeShade="BF"/>
        </w:rPr>
        <w:t>.</w:t>
      </w:r>
      <w:r w:rsidR="00950409" w:rsidRPr="007256F9">
        <w:rPr>
          <w:rFonts w:asciiTheme="majorHAnsi" w:hAnsiTheme="majorHAnsi" w:cstheme="majorHAnsi"/>
          <w:color w:val="2E74B5" w:themeColor="accent5" w:themeShade="BF"/>
        </w:rPr>
        <w:t xml:space="preserve"> </w:t>
      </w:r>
    </w:p>
    <w:p w14:paraId="3C21C5B4" w14:textId="77777777" w:rsidR="00F7005F" w:rsidRPr="00196102" w:rsidRDefault="00F7005F" w:rsidP="00F7005F">
      <w:pPr>
        <w:jc w:val="center"/>
        <w:rPr>
          <w:rFonts w:asciiTheme="majorHAnsi" w:hAnsiTheme="majorHAnsi" w:cstheme="majorHAnsi"/>
        </w:rPr>
      </w:pPr>
    </w:p>
    <w:p w14:paraId="228C7E06" w14:textId="465EC113" w:rsidR="002B20B7" w:rsidRPr="00196102" w:rsidRDefault="00950409" w:rsidP="00F7005F">
      <w:pPr>
        <w:jc w:val="center"/>
        <w:rPr>
          <w:rFonts w:asciiTheme="majorHAnsi" w:hAnsiTheme="majorHAnsi" w:cstheme="majorHAnsi"/>
        </w:rPr>
      </w:pPr>
      <w:r w:rsidRPr="00196102">
        <w:rPr>
          <w:rFonts w:asciiTheme="majorHAnsi" w:hAnsiTheme="majorHAnsi" w:cstheme="majorHAnsi"/>
        </w:rPr>
        <w:t>____________________</w:t>
      </w:r>
    </w:p>
    <w:sectPr w:rsidR="002B20B7" w:rsidRPr="00196102" w:rsidSect="001315E7">
      <w:pgSz w:w="11906" w:h="16838"/>
      <w:pgMar w:top="1134" w:right="567" w:bottom="624" w:left="124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12131"/>
    <w:multiLevelType w:val="hybridMultilevel"/>
    <w:tmpl w:val="0896A5AE"/>
    <w:lvl w:ilvl="0" w:tplc="0427000B">
      <w:start w:val="1"/>
      <w:numFmt w:val="bullet"/>
      <w:lvlText w:val=""/>
      <w:lvlJc w:val="left"/>
      <w:pPr>
        <w:ind w:left="1142" w:hanging="360"/>
      </w:pPr>
      <w:rPr>
        <w:rFonts w:ascii="Wingdings" w:hAnsi="Wingdings" w:hint="default"/>
      </w:rPr>
    </w:lvl>
    <w:lvl w:ilvl="1" w:tplc="04270003" w:tentative="1">
      <w:start w:val="1"/>
      <w:numFmt w:val="bullet"/>
      <w:lvlText w:val="o"/>
      <w:lvlJc w:val="left"/>
      <w:pPr>
        <w:ind w:left="1862" w:hanging="360"/>
      </w:pPr>
      <w:rPr>
        <w:rFonts w:ascii="Courier New" w:hAnsi="Courier New" w:cs="Courier New" w:hint="default"/>
      </w:rPr>
    </w:lvl>
    <w:lvl w:ilvl="2" w:tplc="04270005" w:tentative="1">
      <w:start w:val="1"/>
      <w:numFmt w:val="bullet"/>
      <w:lvlText w:val=""/>
      <w:lvlJc w:val="left"/>
      <w:pPr>
        <w:ind w:left="2582" w:hanging="360"/>
      </w:pPr>
      <w:rPr>
        <w:rFonts w:ascii="Wingdings" w:hAnsi="Wingdings" w:hint="default"/>
      </w:rPr>
    </w:lvl>
    <w:lvl w:ilvl="3" w:tplc="04270001" w:tentative="1">
      <w:start w:val="1"/>
      <w:numFmt w:val="bullet"/>
      <w:lvlText w:val=""/>
      <w:lvlJc w:val="left"/>
      <w:pPr>
        <w:ind w:left="3302" w:hanging="360"/>
      </w:pPr>
      <w:rPr>
        <w:rFonts w:ascii="Symbol" w:hAnsi="Symbol" w:hint="default"/>
      </w:rPr>
    </w:lvl>
    <w:lvl w:ilvl="4" w:tplc="04270003" w:tentative="1">
      <w:start w:val="1"/>
      <w:numFmt w:val="bullet"/>
      <w:lvlText w:val="o"/>
      <w:lvlJc w:val="left"/>
      <w:pPr>
        <w:ind w:left="4022" w:hanging="360"/>
      </w:pPr>
      <w:rPr>
        <w:rFonts w:ascii="Courier New" w:hAnsi="Courier New" w:cs="Courier New" w:hint="default"/>
      </w:rPr>
    </w:lvl>
    <w:lvl w:ilvl="5" w:tplc="04270005" w:tentative="1">
      <w:start w:val="1"/>
      <w:numFmt w:val="bullet"/>
      <w:lvlText w:val=""/>
      <w:lvlJc w:val="left"/>
      <w:pPr>
        <w:ind w:left="4742" w:hanging="360"/>
      </w:pPr>
      <w:rPr>
        <w:rFonts w:ascii="Wingdings" w:hAnsi="Wingdings" w:hint="default"/>
      </w:rPr>
    </w:lvl>
    <w:lvl w:ilvl="6" w:tplc="04270001" w:tentative="1">
      <w:start w:val="1"/>
      <w:numFmt w:val="bullet"/>
      <w:lvlText w:val=""/>
      <w:lvlJc w:val="left"/>
      <w:pPr>
        <w:ind w:left="5462" w:hanging="360"/>
      </w:pPr>
      <w:rPr>
        <w:rFonts w:ascii="Symbol" w:hAnsi="Symbol" w:hint="default"/>
      </w:rPr>
    </w:lvl>
    <w:lvl w:ilvl="7" w:tplc="04270003" w:tentative="1">
      <w:start w:val="1"/>
      <w:numFmt w:val="bullet"/>
      <w:lvlText w:val="o"/>
      <w:lvlJc w:val="left"/>
      <w:pPr>
        <w:ind w:left="6182" w:hanging="360"/>
      </w:pPr>
      <w:rPr>
        <w:rFonts w:ascii="Courier New" w:hAnsi="Courier New" w:cs="Courier New" w:hint="default"/>
      </w:rPr>
    </w:lvl>
    <w:lvl w:ilvl="8" w:tplc="04270005" w:tentative="1">
      <w:start w:val="1"/>
      <w:numFmt w:val="bullet"/>
      <w:lvlText w:val=""/>
      <w:lvlJc w:val="left"/>
      <w:pPr>
        <w:ind w:left="6902" w:hanging="360"/>
      </w:pPr>
      <w:rPr>
        <w:rFonts w:ascii="Wingdings" w:hAnsi="Wingdings" w:hint="default"/>
      </w:rPr>
    </w:lvl>
  </w:abstractNum>
  <w:num w:numId="1" w16cid:durableId="134494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09"/>
    <w:rsid w:val="00107D4C"/>
    <w:rsid w:val="001315E7"/>
    <w:rsid w:val="00196102"/>
    <w:rsid w:val="001F4DEC"/>
    <w:rsid w:val="002B20B7"/>
    <w:rsid w:val="00383669"/>
    <w:rsid w:val="003871B3"/>
    <w:rsid w:val="00393FE6"/>
    <w:rsid w:val="003B07F1"/>
    <w:rsid w:val="003E267B"/>
    <w:rsid w:val="006E0537"/>
    <w:rsid w:val="007256F9"/>
    <w:rsid w:val="00780810"/>
    <w:rsid w:val="008A11C3"/>
    <w:rsid w:val="00950409"/>
    <w:rsid w:val="009E044E"/>
    <w:rsid w:val="00A73FE3"/>
    <w:rsid w:val="00BB1BA5"/>
    <w:rsid w:val="00C84A39"/>
    <w:rsid w:val="00E3091B"/>
    <w:rsid w:val="00E91762"/>
    <w:rsid w:val="00F14103"/>
    <w:rsid w:val="00F70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654A"/>
  <w15:chartTrackingRefBased/>
  <w15:docId w15:val="{DE1BF675-9B3E-40F7-AE8C-2F6EAB24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ind w:left="78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50409"/>
    <w:rPr>
      <w:color w:val="0563C1" w:themeColor="hyperlink"/>
      <w:u w:val="single"/>
    </w:rPr>
  </w:style>
  <w:style w:type="character" w:styleId="Neapdorotaspaminjimas">
    <w:name w:val="Unresolved Mention"/>
    <w:basedOn w:val="Numatytasispastraiposriftas"/>
    <w:uiPriority w:val="99"/>
    <w:semiHidden/>
    <w:unhideWhenUsed/>
    <w:rsid w:val="00950409"/>
    <w:rPr>
      <w:color w:val="605E5C"/>
      <w:shd w:val="clear" w:color="auto" w:fill="E1DFDD"/>
    </w:rPr>
  </w:style>
  <w:style w:type="paragraph" w:styleId="Sraopastraipa">
    <w:name w:val="List Paragraph"/>
    <w:basedOn w:val="prastasis"/>
    <w:uiPriority w:val="34"/>
    <w:qFormat/>
    <w:rsid w:val="00E30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ance.lt" TargetMode="External"/><Relationship Id="rId13" Type="http://schemas.openxmlformats.org/officeDocument/2006/relationships/hyperlink" Target="https://governance.lt/kolegialus-organai/" TargetMode="External"/><Relationship Id="rId3" Type="http://schemas.openxmlformats.org/officeDocument/2006/relationships/styles" Target="styles.xml"/><Relationship Id="rId7" Type="http://schemas.openxmlformats.org/officeDocument/2006/relationships/hyperlink" Target="http://www.klaipeda.lt" TargetMode="External"/><Relationship Id="rId12" Type="http://schemas.openxmlformats.org/officeDocument/2006/relationships/hyperlink" Target="https://www.vanduo.lt/virsutinis-meniu-apie-m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anduo.lt/naujienos/" TargetMode="External"/><Relationship Id="rId11" Type="http://schemas.openxmlformats.org/officeDocument/2006/relationships/hyperlink" Target="https://www.vanduo.lt/strateginiai-bei-investiciniai-veiklos-plan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nduo.lt" TargetMode="External"/><Relationship Id="rId4" Type="http://schemas.openxmlformats.org/officeDocument/2006/relationships/settings" Target="settings.xml"/><Relationship Id="rId9" Type="http://schemas.openxmlformats.org/officeDocument/2006/relationships/hyperlink" Target="mailto:info@vanduo.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D506-BCBA-4515-8841-807B40D0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8140</Words>
  <Characters>4641</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Šiaulienė</dc:creator>
  <cp:keywords/>
  <dc:description/>
  <cp:lastModifiedBy>Jūratė Šiaulienė</cp:lastModifiedBy>
  <cp:revision>15</cp:revision>
  <dcterms:created xsi:type="dcterms:W3CDTF">2024-01-25T19:26:00Z</dcterms:created>
  <dcterms:modified xsi:type="dcterms:W3CDTF">2024-02-08T11:54:00Z</dcterms:modified>
</cp:coreProperties>
</file>